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2021</w:t>
      </w:r>
      <w:r>
        <w:rPr>
          <w:rFonts w:hint="eastAsia"/>
          <w:b/>
          <w:sz w:val="30"/>
          <w:szCs w:val="30"/>
        </w:rPr>
        <w:t>年1-</w:t>
      </w:r>
      <w:r>
        <w:rPr>
          <w:rFonts w:hint="eastAsia"/>
          <w:b/>
          <w:sz w:val="30"/>
          <w:szCs w:val="30"/>
          <w:lang w:val="en-US" w:eastAsia="zh-CN"/>
        </w:rPr>
        <w:t>12</w:t>
      </w:r>
      <w:r>
        <w:rPr>
          <w:rFonts w:hint="eastAsia"/>
          <w:b/>
          <w:sz w:val="30"/>
          <w:szCs w:val="30"/>
        </w:rPr>
        <w:t>月东莞两级法院新收一审土地争议案件</w:t>
      </w:r>
      <w:r>
        <w:rPr>
          <w:rFonts w:hint="eastAsia"/>
          <w:b/>
          <w:sz w:val="30"/>
          <w:szCs w:val="30"/>
          <w:lang w:val="en-US" w:eastAsia="zh-CN"/>
        </w:rPr>
        <w:t>111</w:t>
      </w:r>
      <w:r>
        <w:rPr>
          <w:rFonts w:hint="eastAsia"/>
          <w:b/>
          <w:sz w:val="30"/>
          <w:szCs w:val="30"/>
        </w:rPr>
        <w:t>件。</w:t>
      </w: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69230" cy="3765550"/>
            <wp:effectExtent l="0" t="0" r="7620" b="635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0"/>
          <w:szCs w:val="30"/>
          <w:lang w:val="en-US" w:eastAsia="zh-CN"/>
        </w:rPr>
      </w:pPr>
    </w:p>
    <w:p>
      <w:r>
        <w:drawing>
          <wp:inline distT="0" distB="0" distL="114300" distR="114300">
            <wp:extent cx="5286375" cy="3390265"/>
            <wp:effectExtent l="0" t="0" r="9525" b="635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2021</w:t>
      </w:r>
      <w:r>
        <w:rPr>
          <w:rFonts w:hint="eastAsia"/>
          <w:b/>
          <w:sz w:val="30"/>
          <w:szCs w:val="30"/>
        </w:rPr>
        <w:t>年1-</w:t>
      </w:r>
      <w:r>
        <w:rPr>
          <w:rFonts w:hint="eastAsia"/>
          <w:b/>
          <w:sz w:val="30"/>
          <w:szCs w:val="30"/>
          <w:lang w:val="en-US" w:eastAsia="zh-CN"/>
        </w:rPr>
        <w:t>12</w:t>
      </w:r>
      <w:r>
        <w:rPr>
          <w:rFonts w:hint="eastAsia"/>
          <w:b/>
          <w:sz w:val="30"/>
          <w:szCs w:val="30"/>
        </w:rPr>
        <w:t>月东莞两级法院审结一审土地争议案件</w:t>
      </w:r>
      <w:r>
        <w:rPr>
          <w:rFonts w:hint="eastAsia"/>
          <w:b/>
          <w:sz w:val="30"/>
          <w:szCs w:val="30"/>
          <w:lang w:val="en-US" w:eastAsia="zh-CN"/>
        </w:rPr>
        <w:t>99</w:t>
      </w:r>
      <w:r>
        <w:rPr>
          <w:rFonts w:hint="eastAsia"/>
          <w:b/>
          <w:sz w:val="30"/>
          <w:szCs w:val="30"/>
        </w:rPr>
        <w:t>件。</w:t>
      </w:r>
      <w:bookmarkStart w:id="0" w:name="_GoBack"/>
      <w:bookmarkEnd w:id="0"/>
    </w:p>
    <w:p>
      <w:r>
        <w:drawing>
          <wp:inline distT="0" distB="0" distL="114300" distR="114300">
            <wp:extent cx="5352415" cy="3755390"/>
            <wp:effectExtent l="0" t="0" r="635" b="1651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37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353050" cy="3467100"/>
            <wp:effectExtent l="0" t="0" r="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03BF"/>
    <w:rsid w:val="000403BF"/>
    <w:rsid w:val="00127D5A"/>
    <w:rsid w:val="00434D54"/>
    <w:rsid w:val="004A7858"/>
    <w:rsid w:val="00510B81"/>
    <w:rsid w:val="00664DDE"/>
    <w:rsid w:val="007223CA"/>
    <w:rsid w:val="007D585B"/>
    <w:rsid w:val="0090741B"/>
    <w:rsid w:val="00C92E91"/>
    <w:rsid w:val="00EB41F5"/>
    <w:rsid w:val="0CD96C2E"/>
    <w:rsid w:val="17AE746C"/>
    <w:rsid w:val="1CAD2FF1"/>
    <w:rsid w:val="26507168"/>
    <w:rsid w:val="31176E2C"/>
    <w:rsid w:val="3BE5348D"/>
    <w:rsid w:val="3F704337"/>
    <w:rsid w:val="422A2392"/>
    <w:rsid w:val="54F323E5"/>
    <w:rsid w:val="570F5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16</Words>
  <Characters>94</Characters>
  <Lines>1</Lines>
  <Paragraphs>1</Paragraphs>
  <TotalTime>46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2020-09-07T07:28:00Z</dcterms:created>
  <dc:creator>Chinese User</dc:creator>
  <cp:lastModifiedBy>Administrator</cp:lastModifiedBy>
  <cp:lastPrinted>2020-11-26T02:59:00Z</cp:lastPrinted>
  <dcterms:modified xsi:type="dcterms:W3CDTF">2022-01-30T02:58:28Z</dcterms:modified>
  <dc:title>2021年1-6月东莞两级法院新收一审土地争议案件63件。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